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C" w:rsidRPr="00201E5C" w:rsidRDefault="00F210C0" w:rsidP="00201E5C">
      <w:pPr>
        <w:jc w:val="center"/>
        <w:rPr>
          <w:sz w:val="24"/>
          <w:szCs w:val="24"/>
        </w:rPr>
      </w:pPr>
      <w:r w:rsidRPr="00201E5C">
        <w:rPr>
          <w:sz w:val="24"/>
          <w:szCs w:val="24"/>
        </w:rPr>
        <w:t>Clinical Guidance for Evaluation, Testing and Treatment of Patients with Respiratory symptoms</w:t>
      </w:r>
      <w:r w:rsidR="004034FE" w:rsidRPr="00201E5C">
        <w:rPr>
          <w:sz w:val="24"/>
          <w:szCs w:val="24"/>
        </w:rPr>
        <w:t xml:space="preserve"> and Suspicion for COVID19</w:t>
      </w:r>
    </w:p>
    <w:p w:rsidR="00E750A0" w:rsidRDefault="00C608B7" w:rsidP="00201E5C">
      <w:pPr>
        <w:jc w:val="center"/>
      </w:pPr>
      <w:r>
        <w:t>– Version 5</w:t>
      </w:r>
      <w:r w:rsidR="00D95F79">
        <w:t xml:space="preserve">. Updated </w:t>
      </w:r>
      <w:r>
        <w:t>8/31</w:t>
      </w:r>
      <w:r w:rsidR="00201E5C">
        <w:t>/2020-</w:t>
      </w:r>
    </w:p>
    <w:p w:rsidR="0051011E" w:rsidRPr="00157CC3" w:rsidRDefault="0051011E" w:rsidP="00F210C0">
      <w:pPr>
        <w:rPr>
          <w:b/>
          <w:sz w:val="28"/>
          <w:szCs w:val="28"/>
        </w:rPr>
      </w:pPr>
      <w:r w:rsidRPr="00157CC3">
        <w:rPr>
          <w:b/>
          <w:sz w:val="28"/>
          <w:szCs w:val="28"/>
        </w:rPr>
        <w:t>Testing criteria</w:t>
      </w:r>
    </w:p>
    <w:p w:rsidR="00F210C0" w:rsidRDefault="00F210C0" w:rsidP="0051011E">
      <w:pPr>
        <w:pStyle w:val="ListParagraph"/>
        <w:numPr>
          <w:ilvl w:val="0"/>
          <w:numId w:val="5"/>
        </w:numPr>
      </w:pPr>
      <w:r>
        <w:t>Adult patients</w:t>
      </w:r>
    </w:p>
    <w:p w:rsidR="00F210C0" w:rsidRDefault="00F210C0" w:rsidP="00F210C0">
      <w:pPr>
        <w:pStyle w:val="ListParagraph"/>
        <w:numPr>
          <w:ilvl w:val="0"/>
          <w:numId w:val="2"/>
        </w:numPr>
      </w:pPr>
      <w:r>
        <w:t>Asymptomatic, if contact with COVID patient</w:t>
      </w:r>
      <w:r w:rsidR="00086F10">
        <w:t xml:space="preserve"> </w:t>
      </w:r>
      <w:r>
        <w:t xml:space="preserve">– </w:t>
      </w:r>
      <w:r w:rsidR="009043C8" w:rsidRPr="00B36A7A">
        <w:t>consider testing starting day 5-7 after exposure</w:t>
      </w:r>
      <w:r w:rsidR="00827046" w:rsidRPr="00B36A7A">
        <w:t xml:space="preserve"> if testing available, prioritizing persons with high public health risk </w:t>
      </w:r>
      <w:r w:rsidR="00491582">
        <w:t xml:space="preserve">or at high personal </w:t>
      </w:r>
      <w:proofErr w:type="gramStart"/>
      <w:r w:rsidR="00491582">
        <w:t>risk</w:t>
      </w:r>
      <w:r w:rsidR="00827046" w:rsidRPr="00B36A7A">
        <w:t>(</w:t>
      </w:r>
      <w:proofErr w:type="gramEnd"/>
      <w:r w:rsidR="00827046" w:rsidRPr="00B36A7A">
        <w:t>e.g. healthcare personnel, teachers)</w:t>
      </w:r>
      <w:r>
        <w:t xml:space="preserve">. </w:t>
      </w:r>
      <w:r w:rsidR="009B776F">
        <w:t>Reassure</w:t>
      </w:r>
      <w:r>
        <w:t>, quarantine of contact as per CDC guidelines</w:t>
      </w:r>
    </w:p>
    <w:p w:rsidR="009043C8" w:rsidRPr="00B36A7A" w:rsidRDefault="00F210C0" w:rsidP="00F210C0">
      <w:pPr>
        <w:pStyle w:val="ListParagraph"/>
        <w:numPr>
          <w:ilvl w:val="0"/>
          <w:numId w:val="2"/>
        </w:numPr>
      </w:pPr>
      <w:r>
        <w:t>Symptoms of acute respiratory tract infection (</w:t>
      </w:r>
      <w:r w:rsidR="009B776F">
        <w:t xml:space="preserve">new </w:t>
      </w:r>
      <w:r>
        <w:t xml:space="preserve">cough, fever, </w:t>
      </w:r>
      <w:r w:rsidR="009B776F">
        <w:t xml:space="preserve">new shortness of breath, </w:t>
      </w:r>
      <w:proofErr w:type="spellStart"/>
      <w:r w:rsidR="009B776F">
        <w:t>myalgias</w:t>
      </w:r>
      <w:proofErr w:type="spellEnd"/>
      <w:r w:rsidR="009043C8">
        <w:t>, GI symptoms</w:t>
      </w:r>
      <w:r w:rsidR="009B776F">
        <w:t xml:space="preserve"> </w:t>
      </w:r>
      <w:proofErr w:type="spellStart"/>
      <w:r w:rsidR="009B776F">
        <w:t>etc</w:t>
      </w:r>
      <w:proofErr w:type="spellEnd"/>
      <w:r w:rsidR="009B776F">
        <w:t xml:space="preserve"> </w:t>
      </w:r>
      <w:r>
        <w:t>)</w:t>
      </w:r>
      <w:r w:rsidR="009B776F">
        <w:t xml:space="preserve"> and no significant co-morbid conditions, outpatient or ER not requiring admission – </w:t>
      </w:r>
      <w:r w:rsidR="00F91560" w:rsidRPr="00B36A7A">
        <w:t>T</w:t>
      </w:r>
      <w:r w:rsidR="009B776F" w:rsidRPr="00B36A7A">
        <w:t>est</w:t>
      </w:r>
      <w:r w:rsidR="00F91560" w:rsidRPr="00B36A7A">
        <w:t xml:space="preserve"> if </w:t>
      </w:r>
      <w:r w:rsidR="00C9139B" w:rsidRPr="00B36A7A">
        <w:t>sufficient testing ability</w:t>
      </w:r>
      <w:r w:rsidR="009043C8" w:rsidRPr="00B36A7A">
        <w:t>*</w:t>
      </w:r>
      <w:r w:rsidR="006A1563" w:rsidRPr="00B36A7A">
        <w:t>, home with instructions per CDC guidelines</w:t>
      </w:r>
      <w:r w:rsidR="00F91560" w:rsidRPr="00B36A7A">
        <w:t xml:space="preserve"> while awaiting results</w:t>
      </w:r>
      <w:r w:rsidR="009043C8" w:rsidRPr="00B36A7A">
        <w:t xml:space="preserve">. </w:t>
      </w:r>
    </w:p>
    <w:p w:rsidR="00F210C0" w:rsidRDefault="009043C8" w:rsidP="009043C8">
      <w:pPr>
        <w:pStyle w:val="ListParagraph"/>
      </w:pPr>
      <w:r w:rsidRPr="00B36A7A">
        <w:t>*For Prompt Care or patients seen in the ED not requiring admission – start with antigen testing (SOFIA2 or equivalent). If positive no further testing is required, patient is diagnosed with COVID 19. If negative and there is a high pretest probability (sick contacts, suggestive symptoms</w:t>
      </w:r>
      <w:proofErr w:type="gramStart"/>
      <w:r w:rsidRPr="00B36A7A">
        <w:t>)</w:t>
      </w:r>
      <w:r w:rsidR="005A1CFB" w:rsidRPr="00B36A7A">
        <w:t>-</w:t>
      </w:r>
      <w:proofErr w:type="gramEnd"/>
      <w:r w:rsidR="005A1CFB" w:rsidRPr="00B36A7A">
        <w:t xml:space="preserve"> send</w:t>
      </w:r>
      <w:r w:rsidRPr="00B36A7A">
        <w:t xml:space="preserve"> NP swab for PCR</w:t>
      </w:r>
    </w:p>
    <w:p w:rsidR="009B776F" w:rsidRPr="00B36A7A" w:rsidRDefault="009B776F" w:rsidP="00F210C0">
      <w:pPr>
        <w:pStyle w:val="ListParagraph"/>
        <w:numPr>
          <w:ilvl w:val="0"/>
          <w:numId w:val="2"/>
        </w:numPr>
      </w:pPr>
      <w:r w:rsidRPr="00B36A7A">
        <w:t xml:space="preserve">Symptoms of acute respiratory tract infection (new cough, fever, new shortness of breath, </w:t>
      </w:r>
      <w:proofErr w:type="spellStart"/>
      <w:r w:rsidRPr="00B36A7A">
        <w:t>myalgias</w:t>
      </w:r>
      <w:proofErr w:type="spellEnd"/>
      <w:r w:rsidRPr="00B36A7A">
        <w:t xml:space="preserve"> </w:t>
      </w:r>
      <w:proofErr w:type="spellStart"/>
      <w:r w:rsidRPr="00B36A7A">
        <w:t>etc</w:t>
      </w:r>
      <w:proofErr w:type="spellEnd"/>
      <w:r w:rsidRPr="00B36A7A">
        <w:t xml:space="preserve"> ) and significant co-morbid conditions (</w:t>
      </w:r>
      <w:proofErr w:type="spellStart"/>
      <w:r w:rsidRPr="00B36A7A">
        <w:t>immunocompromised</w:t>
      </w:r>
      <w:proofErr w:type="spellEnd"/>
      <w:r w:rsidRPr="00B36A7A">
        <w:t xml:space="preserve"> from cancer, chemotherapy, </w:t>
      </w:r>
      <w:proofErr w:type="spellStart"/>
      <w:r w:rsidRPr="00B36A7A">
        <w:t>immunomodulators</w:t>
      </w:r>
      <w:proofErr w:type="spellEnd"/>
      <w:r w:rsidRPr="00B36A7A">
        <w:t xml:space="preserve">, primary or acquired immunodeficiency </w:t>
      </w:r>
      <w:proofErr w:type="spellStart"/>
      <w:r w:rsidRPr="00B36A7A">
        <w:t>etc</w:t>
      </w:r>
      <w:proofErr w:type="spellEnd"/>
      <w:r w:rsidRPr="00B36A7A">
        <w:t>, DM, asthma/COPD, cardiac disease</w:t>
      </w:r>
      <w:r w:rsidR="00C9139B" w:rsidRPr="00B36A7A">
        <w:t>, HTN</w:t>
      </w:r>
      <w:r w:rsidRPr="00B36A7A">
        <w:t>)</w:t>
      </w:r>
      <w:r w:rsidR="00F91560" w:rsidRPr="00B36A7A">
        <w:t xml:space="preserve"> </w:t>
      </w:r>
      <w:r w:rsidR="009043C8" w:rsidRPr="00B36A7A">
        <w:t>regardless of hospitalization requirements</w:t>
      </w:r>
      <w:r w:rsidRPr="00B36A7A">
        <w:t>–</w:t>
      </w:r>
      <w:r w:rsidR="00F91560" w:rsidRPr="00B36A7A">
        <w:t xml:space="preserve"> </w:t>
      </w:r>
      <w:r w:rsidRPr="00B36A7A">
        <w:t>testing</w:t>
      </w:r>
      <w:r w:rsidR="00C9139B" w:rsidRPr="00B36A7A">
        <w:t xml:space="preserve"> </w:t>
      </w:r>
      <w:r w:rsidR="009043C8" w:rsidRPr="00B36A7A">
        <w:t>is recommended</w:t>
      </w:r>
    </w:p>
    <w:p w:rsidR="0051011E" w:rsidRPr="00B36A7A" w:rsidRDefault="0051011E" w:rsidP="0051011E">
      <w:pPr>
        <w:pStyle w:val="ListParagraph"/>
        <w:numPr>
          <w:ilvl w:val="0"/>
          <w:numId w:val="2"/>
        </w:numPr>
      </w:pPr>
      <w:r w:rsidRPr="00B36A7A">
        <w:t xml:space="preserve">Symptomatic </w:t>
      </w:r>
      <w:r w:rsidR="009043C8" w:rsidRPr="00B36A7A">
        <w:t xml:space="preserve">or exposed asymptomatic </w:t>
      </w:r>
      <w:r w:rsidRPr="00B36A7A">
        <w:t>healthcare workers</w:t>
      </w:r>
    </w:p>
    <w:p w:rsidR="007E1023" w:rsidRDefault="007E1023" w:rsidP="0051011E">
      <w:pPr>
        <w:pStyle w:val="ListParagraph"/>
        <w:numPr>
          <w:ilvl w:val="0"/>
          <w:numId w:val="5"/>
        </w:numPr>
      </w:pPr>
      <w:r>
        <w:t xml:space="preserve">Pediatric patients </w:t>
      </w:r>
    </w:p>
    <w:p w:rsidR="0051011E" w:rsidRDefault="007E1023" w:rsidP="0051011E">
      <w:pPr>
        <w:pStyle w:val="ListParagraph"/>
        <w:numPr>
          <w:ilvl w:val="0"/>
          <w:numId w:val="7"/>
        </w:numPr>
      </w:pPr>
      <w:r>
        <w:t>test for COVID 19 only if admitted with respiratory illness (rarely applying to our institution -UH)</w:t>
      </w:r>
    </w:p>
    <w:p w:rsidR="00E2556D" w:rsidRPr="00B36A7A" w:rsidRDefault="009043C8" w:rsidP="0051011E">
      <w:pPr>
        <w:pStyle w:val="ListParagraph"/>
        <w:numPr>
          <w:ilvl w:val="0"/>
          <w:numId w:val="7"/>
        </w:numPr>
      </w:pPr>
      <w:r w:rsidRPr="00B36A7A">
        <w:t xml:space="preserve">Consider </w:t>
      </w:r>
      <w:r w:rsidR="007E1023" w:rsidRPr="00B36A7A">
        <w:t>testing for COVID if outpatient or ER that does n</w:t>
      </w:r>
      <w:r w:rsidRPr="00B36A7A">
        <w:t>ot require admission if known sick contacts.</w:t>
      </w:r>
    </w:p>
    <w:p w:rsidR="009043C8" w:rsidRPr="00B36A7A" w:rsidRDefault="009043C8" w:rsidP="009043C8">
      <w:pPr>
        <w:rPr>
          <w:b/>
          <w:sz w:val="28"/>
          <w:szCs w:val="28"/>
        </w:rPr>
      </w:pPr>
      <w:r w:rsidRPr="00B36A7A">
        <w:rPr>
          <w:b/>
          <w:sz w:val="28"/>
          <w:szCs w:val="28"/>
        </w:rPr>
        <w:t>COVID-19 retesting criteria</w:t>
      </w:r>
    </w:p>
    <w:p w:rsidR="009043C8" w:rsidRPr="00B36A7A" w:rsidRDefault="009043C8" w:rsidP="005A1CFB">
      <w:pPr>
        <w:pStyle w:val="ListParagraph"/>
        <w:numPr>
          <w:ilvl w:val="0"/>
          <w:numId w:val="24"/>
        </w:numPr>
      </w:pPr>
      <w:r w:rsidRPr="00B36A7A">
        <w:t xml:space="preserve">if </w:t>
      </w:r>
      <w:r w:rsidRPr="00B36A7A">
        <w:rPr>
          <w:b/>
        </w:rPr>
        <w:t>previously positive</w:t>
      </w:r>
      <w:r w:rsidRPr="00B36A7A">
        <w:t xml:space="preserve"> for COVID 19 by any testing method within 90 days – retesting is NOT recommended unless specifically required for transfer to another facility</w:t>
      </w:r>
      <w:r w:rsidR="00827046" w:rsidRPr="00B36A7A">
        <w:t xml:space="preserve"> (no further recommended per CDC guidelines)</w:t>
      </w:r>
    </w:p>
    <w:p w:rsidR="005A1CFB" w:rsidRPr="00B36A7A" w:rsidRDefault="009043C8" w:rsidP="005A1CFB">
      <w:pPr>
        <w:pStyle w:val="ListParagraph"/>
        <w:numPr>
          <w:ilvl w:val="0"/>
          <w:numId w:val="24"/>
        </w:numPr>
      </w:pPr>
      <w:r w:rsidRPr="00B36A7A">
        <w:t xml:space="preserve">if </w:t>
      </w:r>
      <w:r w:rsidRPr="00B36A7A">
        <w:rPr>
          <w:b/>
        </w:rPr>
        <w:t>previously negative</w:t>
      </w:r>
      <w:r w:rsidRPr="00B36A7A">
        <w:t xml:space="preserve"> for COVID</w:t>
      </w:r>
      <w:r w:rsidR="005A1CFB" w:rsidRPr="00B36A7A">
        <w:t xml:space="preserve"> </w:t>
      </w:r>
      <w:r w:rsidRPr="00B36A7A">
        <w:t>19</w:t>
      </w:r>
      <w:r w:rsidR="005A1CFB" w:rsidRPr="00B36A7A">
        <w:t xml:space="preserve"> AND </w:t>
      </w:r>
    </w:p>
    <w:p w:rsidR="009043C8" w:rsidRPr="00B36A7A" w:rsidRDefault="005A1CFB" w:rsidP="005A1CFB">
      <w:pPr>
        <w:pStyle w:val="ListParagraph"/>
        <w:numPr>
          <w:ilvl w:val="1"/>
          <w:numId w:val="7"/>
        </w:numPr>
      </w:pPr>
      <w:r w:rsidRPr="00B36A7A">
        <w:t>there is significant clinical suspicion without alternate diagnoses</w:t>
      </w:r>
    </w:p>
    <w:p w:rsidR="005A1CFB" w:rsidRPr="00B36A7A" w:rsidRDefault="005A1CFB" w:rsidP="005A1CFB">
      <w:pPr>
        <w:pStyle w:val="ListParagraph"/>
        <w:numPr>
          <w:ilvl w:val="1"/>
          <w:numId w:val="7"/>
        </w:numPr>
      </w:pPr>
      <w:r w:rsidRPr="00B36A7A">
        <w:t>suspicion of inadequate sample collection (e.g. self-collection of specimen or collection by untrained personnel )</w:t>
      </w:r>
    </w:p>
    <w:p w:rsidR="005A1CFB" w:rsidRPr="00B36A7A" w:rsidRDefault="005A1CFB" w:rsidP="005A1CFB">
      <w:pPr>
        <w:pStyle w:val="ListParagraph"/>
        <w:numPr>
          <w:ilvl w:val="1"/>
          <w:numId w:val="7"/>
        </w:numPr>
      </w:pPr>
      <w:r w:rsidRPr="00B36A7A">
        <w:t>patient has been discharged from our facility since the previously negative test and readmitted with symptoms</w:t>
      </w:r>
    </w:p>
    <w:p w:rsidR="005A1CFB" w:rsidRDefault="005A1CFB" w:rsidP="005A1CFB">
      <w:proofErr w:type="gramStart"/>
      <w:r w:rsidRPr="00B36A7A">
        <w:t>consider</w:t>
      </w:r>
      <w:proofErr w:type="gramEnd"/>
      <w:r w:rsidRPr="00B36A7A">
        <w:t xml:space="preserve"> retesting</w:t>
      </w:r>
    </w:p>
    <w:p w:rsidR="005A1CFB" w:rsidRDefault="005A1CFB" w:rsidP="00E2556D">
      <w:pPr>
        <w:rPr>
          <w:b/>
        </w:rPr>
      </w:pPr>
    </w:p>
    <w:p w:rsidR="00E2556D" w:rsidRPr="00157CC3" w:rsidRDefault="00E2556D" w:rsidP="00E2556D">
      <w:pPr>
        <w:rPr>
          <w:b/>
          <w:sz w:val="28"/>
          <w:szCs w:val="28"/>
        </w:rPr>
      </w:pPr>
      <w:r w:rsidRPr="00157CC3">
        <w:rPr>
          <w:b/>
          <w:sz w:val="28"/>
          <w:szCs w:val="28"/>
        </w:rPr>
        <w:t>Clinical, radiologic and lab criteria to suspect COVID 19 in hospitalized patients:</w:t>
      </w:r>
    </w:p>
    <w:p w:rsidR="00E2556D" w:rsidRDefault="00E2556D" w:rsidP="00E2556D">
      <w:pPr>
        <w:pStyle w:val="ListParagraph"/>
        <w:numPr>
          <w:ilvl w:val="0"/>
          <w:numId w:val="1"/>
        </w:numPr>
      </w:pPr>
      <w:r>
        <w:t>Respiratory symptoms as described above</w:t>
      </w:r>
    </w:p>
    <w:p w:rsidR="009043C8" w:rsidRDefault="00C9139B" w:rsidP="009043C8">
      <w:pPr>
        <w:pStyle w:val="ListParagraph"/>
        <w:numPr>
          <w:ilvl w:val="0"/>
          <w:numId w:val="1"/>
        </w:numPr>
      </w:pPr>
      <w:r>
        <w:t>Hypoxia without alternate explanation</w:t>
      </w:r>
    </w:p>
    <w:p w:rsidR="009043C8" w:rsidRPr="00B36A7A" w:rsidRDefault="009043C8" w:rsidP="009043C8">
      <w:pPr>
        <w:pStyle w:val="ListParagraph"/>
        <w:numPr>
          <w:ilvl w:val="0"/>
          <w:numId w:val="1"/>
        </w:numPr>
      </w:pPr>
      <w:r w:rsidRPr="00B36A7A">
        <w:t xml:space="preserve">Fever </w:t>
      </w:r>
    </w:p>
    <w:p w:rsidR="009043C8" w:rsidRPr="00B36A7A" w:rsidRDefault="009043C8" w:rsidP="00E2556D">
      <w:pPr>
        <w:pStyle w:val="ListParagraph"/>
        <w:numPr>
          <w:ilvl w:val="0"/>
          <w:numId w:val="1"/>
        </w:numPr>
      </w:pPr>
      <w:r w:rsidRPr="00B36A7A">
        <w:t>GI symptoms</w:t>
      </w:r>
    </w:p>
    <w:p w:rsidR="00E2556D" w:rsidRDefault="00E2556D" w:rsidP="00E2556D">
      <w:pPr>
        <w:pStyle w:val="ListParagraph"/>
        <w:numPr>
          <w:ilvl w:val="0"/>
          <w:numId w:val="1"/>
        </w:numPr>
      </w:pPr>
      <w:r>
        <w:t xml:space="preserve">Bilateral CXR infiltrates or CT scan with patchy bilateral lung infiltrates, ground glass opacities, mostly </w:t>
      </w:r>
      <w:r w:rsidR="002C15EF">
        <w:t>peripheral/</w:t>
      </w:r>
      <w:proofErr w:type="spellStart"/>
      <w:r w:rsidR="002C15EF">
        <w:t>subpleural</w:t>
      </w:r>
      <w:proofErr w:type="spellEnd"/>
      <w:r>
        <w:t xml:space="preserve"> and round in appearance</w:t>
      </w:r>
    </w:p>
    <w:p w:rsidR="002C15EF" w:rsidRDefault="002C15EF" w:rsidP="00E2556D">
      <w:pPr>
        <w:pStyle w:val="ListParagraph"/>
        <w:numPr>
          <w:ilvl w:val="0"/>
          <w:numId w:val="1"/>
        </w:numPr>
      </w:pPr>
      <w:r>
        <w:t>Negative influenza/RSV PCR</w:t>
      </w:r>
    </w:p>
    <w:p w:rsidR="002C15EF" w:rsidRDefault="002C15EF" w:rsidP="00E2556D">
      <w:pPr>
        <w:pStyle w:val="ListParagraph"/>
        <w:numPr>
          <w:ilvl w:val="0"/>
          <w:numId w:val="1"/>
        </w:numPr>
      </w:pPr>
      <w:r>
        <w:t xml:space="preserve">Negative or low </w:t>
      </w:r>
      <w:proofErr w:type="spellStart"/>
      <w:r>
        <w:t>Procalcitonin</w:t>
      </w:r>
      <w:proofErr w:type="spellEnd"/>
      <w:r w:rsidR="00C9139B">
        <w:t xml:space="preserve"> (note that later in the disease </w:t>
      </w:r>
      <w:proofErr w:type="spellStart"/>
      <w:r w:rsidR="00C9139B">
        <w:t>procalcitonin</w:t>
      </w:r>
      <w:proofErr w:type="spellEnd"/>
      <w:r w:rsidR="00C9139B">
        <w:t xml:space="preserve"> may become elevated without evidence of </w:t>
      </w:r>
      <w:proofErr w:type="spellStart"/>
      <w:r w:rsidR="00C9139B">
        <w:t>overimposed</w:t>
      </w:r>
      <w:proofErr w:type="spellEnd"/>
      <w:r w:rsidR="00C9139B">
        <w:t xml:space="preserve"> bacterial infection)</w:t>
      </w:r>
    </w:p>
    <w:p w:rsidR="002C15EF" w:rsidRDefault="002C15EF" w:rsidP="00E2556D">
      <w:pPr>
        <w:pStyle w:val="ListParagraph"/>
        <w:numPr>
          <w:ilvl w:val="0"/>
          <w:numId w:val="1"/>
        </w:numPr>
      </w:pPr>
      <w:proofErr w:type="spellStart"/>
      <w:r>
        <w:t>Lymphopenia</w:t>
      </w:r>
      <w:proofErr w:type="spellEnd"/>
      <w:r>
        <w:t xml:space="preserve"> </w:t>
      </w:r>
    </w:p>
    <w:p w:rsidR="00F91560" w:rsidRDefault="00F91560" w:rsidP="00E2556D">
      <w:pPr>
        <w:pStyle w:val="ListParagraph"/>
        <w:numPr>
          <w:ilvl w:val="0"/>
          <w:numId w:val="1"/>
        </w:numPr>
      </w:pPr>
      <w:r>
        <w:t>Elevated inflammatory markers (sedimentation rate, CRP, ferritin)</w:t>
      </w:r>
    </w:p>
    <w:p w:rsidR="00CA5B65" w:rsidRDefault="00CA5B65" w:rsidP="002C15EF">
      <w:pPr>
        <w:rPr>
          <w:b/>
        </w:rPr>
      </w:pPr>
    </w:p>
    <w:p w:rsidR="002C15EF" w:rsidRPr="00157CC3" w:rsidRDefault="002C15EF" w:rsidP="002C15EF">
      <w:pPr>
        <w:rPr>
          <w:b/>
          <w:sz w:val="28"/>
          <w:szCs w:val="28"/>
        </w:rPr>
      </w:pPr>
      <w:r w:rsidRPr="00157CC3">
        <w:rPr>
          <w:b/>
          <w:sz w:val="28"/>
          <w:szCs w:val="28"/>
        </w:rPr>
        <w:t>Workflow for suspected p</w:t>
      </w:r>
      <w:r w:rsidR="00402B87" w:rsidRPr="00157CC3">
        <w:rPr>
          <w:b/>
          <w:sz w:val="28"/>
          <w:szCs w:val="28"/>
        </w:rPr>
        <w:t>atients</w:t>
      </w:r>
      <w:r w:rsidRPr="00157CC3">
        <w:rPr>
          <w:b/>
          <w:sz w:val="28"/>
          <w:szCs w:val="28"/>
        </w:rPr>
        <w:t>:</w:t>
      </w:r>
    </w:p>
    <w:p w:rsidR="00F6341A" w:rsidRDefault="00F6341A" w:rsidP="002C15EF">
      <w:pPr>
        <w:pStyle w:val="ListParagraph"/>
        <w:numPr>
          <w:ilvl w:val="0"/>
          <w:numId w:val="1"/>
        </w:numPr>
      </w:pPr>
      <w:r>
        <w:t>Decide if COVID testing is appropriate</w:t>
      </w:r>
    </w:p>
    <w:p w:rsidR="002C15EF" w:rsidRDefault="002C15EF" w:rsidP="002C15EF">
      <w:pPr>
        <w:pStyle w:val="ListParagraph"/>
        <w:numPr>
          <w:ilvl w:val="0"/>
          <w:numId w:val="1"/>
        </w:numPr>
      </w:pPr>
      <w:r>
        <w:t>Place in negative airflow room, airborne/contact precautions</w:t>
      </w:r>
      <w:r w:rsidR="00157CC3">
        <w:t>*</w:t>
      </w:r>
    </w:p>
    <w:p w:rsidR="002C15EF" w:rsidRDefault="00F6341A" w:rsidP="002C15EF">
      <w:pPr>
        <w:pStyle w:val="ListParagraph"/>
        <w:numPr>
          <w:ilvl w:val="0"/>
          <w:numId w:val="1"/>
        </w:numPr>
      </w:pPr>
      <w:r>
        <w:t>Asses</w:t>
      </w:r>
      <w:r w:rsidR="002C15EF">
        <w:t xml:space="preserve"> labs and CXR available</w:t>
      </w:r>
    </w:p>
    <w:p w:rsidR="002C15EF" w:rsidRDefault="002C15EF" w:rsidP="002C15EF">
      <w:pPr>
        <w:pStyle w:val="ListParagraph"/>
        <w:numPr>
          <w:ilvl w:val="0"/>
          <w:numId w:val="1"/>
        </w:numPr>
      </w:pPr>
      <w:r>
        <w:t>Test for flu/RSV by PCR</w:t>
      </w:r>
      <w:r w:rsidR="00F91560">
        <w:t xml:space="preserve"> if appropriate</w:t>
      </w:r>
    </w:p>
    <w:p w:rsidR="002C15EF" w:rsidRDefault="002C15EF" w:rsidP="002C15EF">
      <w:pPr>
        <w:pStyle w:val="ListParagraph"/>
        <w:numPr>
          <w:ilvl w:val="0"/>
          <w:numId w:val="1"/>
        </w:numPr>
      </w:pPr>
      <w:r>
        <w:t xml:space="preserve">Test </w:t>
      </w:r>
      <w:proofErr w:type="spellStart"/>
      <w:r>
        <w:t>procalcitonin</w:t>
      </w:r>
      <w:proofErr w:type="spellEnd"/>
    </w:p>
    <w:p w:rsidR="002C15EF" w:rsidRDefault="002C15EF" w:rsidP="002C15EF">
      <w:pPr>
        <w:pStyle w:val="ListParagraph"/>
        <w:numPr>
          <w:ilvl w:val="0"/>
          <w:numId w:val="1"/>
        </w:numPr>
      </w:pPr>
      <w:r>
        <w:t xml:space="preserve">Test urine antigens for legionella and strep </w:t>
      </w:r>
      <w:proofErr w:type="spellStart"/>
      <w:r>
        <w:t>pneumo</w:t>
      </w:r>
      <w:proofErr w:type="spellEnd"/>
      <w:r w:rsidR="00201E5C">
        <w:t xml:space="preserve"> if indicated</w:t>
      </w:r>
      <w:r w:rsidR="00F91560">
        <w:t xml:space="preserve"> (more focal infiltrate versus bilateral infiltrates, high </w:t>
      </w:r>
      <w:proofErr w:type="spellStart"/>
      <w:r w:rsidR="00F91560">
        <w:t>procalcitonin</w:t>
      </w:r>
      <w:proofErr w:type="spellEnd"/>
      <w:r w:rsidR="00F91560">
        <w:t>)</w:t>
      </w:r>
    </w:p>
    <w:p w:rsidR="004034FE" w:rsidRDefault="00F6341A" w:rsidP="004034FE">
      <w:pPr>
        <w:pStyle w:val="ListParagraph"/>
        <w:numPr>
          <w:ilvl w:val="0"/>
          <w:numId w:val="1"/>
        </w:numPr>
      </w:pPr>
      <w:r>
        <w:t xml:space="preserve">Collect COVID test - </w:t>
      </w:r>
      <w:r w:rsidR="004034FE">
        <w:t>testing is done with an NP swab and viral transport media</w:t>
      </w:r>
      <w:r w:rsidR="009043C8">
        <w:t xml:space="preserve"> or saline</w:t>
      </w:r>
    </w:p>
    <w:p w:rsidR="00157CC3" w:rsidRDefault="00157CC3" w:rsidP="00157CC3">
      <w:r>
        <w:t>*</w:t>
      </w:r>
      <w:r w:rsidRPr="00B36A7A">
        <w:t>preoperative testing does not require placement in negative airflow room</w:t>
      </w:r>
    </w:p>
    <w:p w:rsidR="004034FE" w:rsidRPr="00157CC3" w:rsidRDefault="004034FE" w:rsidP="004034FE">
      <w:pPr>
        <w:rPr>
          <w:b/>
          <w:sz w:val="28"/>
          <w:szCs w:val="28"/>
        </w:rPr>
      </w:pPr>
      <w:r w:rsidRPr="00157CC3">
        <w:rPr>
          <w:b/>
          <w:sz w:val="28"/>
          <w:szCs w:val="28"/>
        </w:rPr>
        <w:t>Treatment:</w:t>
      </w:r>
    </w:p>
    <w:p w:rsidR="004034FE" w:rsidRDefault="007E1023" w:rsidP="004034FE">
      <w:r>
        <w:t xml:space="preserve">The following options are based on available information at the time of writing of this document. </w:t>
      </w:r>
    </w:p>
    <w:p w:rsidR="004726AA" w:rsidRPr="00193CF5" w:rsidRDefault="004726AA" w:rsidP="004726AA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193CF5">
        <w:rPr>
          <w:b/>
        </w:rPr>
        <w:t>Remdesivir</w:t>
      </w:r>
      <w:proofErr w:type="spellEnd"/>
    </w:p>
    <w:p w:rsidR="004726AA" w:rsidRDefault="004726AA" w:rsidP="004726AA">
      <w:pPr>
        <w:pStyle w:val="ListParagraph"/>
        <w:numPr>
          <w:ilvl w:val="0"/>
          <w:numId w:val="18"/>
        </w:numPr>
      </w:pPr>
      <w:r w:rsidRPr="004726AA">
        <w:t xml:space="preserve">FDA has issued an Emergency Use Authorization (EUA) permitting use of the unapproved product </w:t>
      </w:r>
      <w:proofErr w:type="spellStart"/>
      <w:r w:rsidRPr="004726AA">
        <w:t>remdesivir</w:t>
      </w:r>
      <w:proofErr w:type="spellEnd"/>
      <w:r w:rsidRPr="004726AA">
        <w:t xml:space="preserve"> for treatment of laboratory confirmed or suspected COVID-19 in adults and children </w:t>
      </w:r>
      <w:r w:rsidR="00C608B7">
        <w:t>who are hospitalized</w:t>
      </w:r>
      <w:r w:rsidRPr="004726AA">
        <w:t xml:space="preserve">.  </w:t>
      </w:r>
    </w:p>
    <w:p w:rsidR="005A1CFB" w:rsidRPr="00157CC3" w:rsidRDefault="005A1CFB" w:rsidP="004726AA">
      <w:pPr>
        <w:pStyle w:val="ListParagraph"/>
        <w:numPr>
          <w:ilvl w:val="0"/>
          <w:numId w:val="18"/>
        </w:numPr>
        <w:rPr>
          <w:highlight w:val="yellow"/>
        </w:rPr>
      </w:pPr>
      <w:r w:rsidRPr="00B36A7A">
        <w:t>NIH guidelines recommend</w:t>
      </w:r>
      <w:r w:rsidR="007948DE" w:rsidRPr="00B36A7A">
        <w:t xml:space="preserve"> prioritizing</w:t>
      </w:r>
      <w:r w:rsidRPr="00B36A7A">
        <w:t xml:space="preserve"> use in hospitalized patients who require supplemental oxygen but who are NOT on high flow oxygen, NIPPV, mechanical ventilation or ECMO</w:t>
      </w:r>
      <w:r w:rsidR="00827046" w:rsidRPr="00B36A7A">
        <w:t xml:space="preserve">. Because there is uncertainty regarding whether starting </w:t>
      </w:r>
      <w:proofErr w:type="spellStart"/>
      <w:r w:rsidR="00827046" w:rsidRPr="00B36A7A">
        <w:t>remdesivir</w:t>
      </w:r>
      <w:proofErr w:type="spellEnd"/>
      <w:r w:rsidR="00827046" w:rsidRPr="00B36A7A">
        <w:t xml:space="preserve"> confers clinical benefit in these groups of patients, the NIH Panel cannot make a recommendation either for or against starting </w:t>
      </w:r>
      <w:proofErr w:type="spellStart"/>
      <w:r w:rsidR="00827046" w:rsidRPr="00B36A7A">
        <w:t>remdesivir</w:t>
      </w:r>
      <w:proofErr w:type="spellEnd"/>
      <w:r w:rsidR="00827046" w:rsidRPr="00B36A7A">
        <w:t>.</w:t>
      </w:r>
      <w:r w:rsidR="00827046" w:rsidRPr="00B36A7A">
        <w:rPr>
          <w:rFonts w:ascii="Arial" w:hAnsi="Arial" w:cs="Arial"/>
          <w:color w:val="171717"/>
          <w:shd w:val="clear" w:color="auto" w:fill="FFFFFF"/>
        </w:rPr>
        <w:t xml:space="preserve"> </w:t>
      </w:r>
      <w:r w:rsidR="00827046" w:rsidRPr="00B36A7A">
        <w:t xml:space="preserve">There are insufficient </w:t>
      </w:r>
      <w:r w:rsidR="00827046" w:rsidRPr="00B36A7A">
        <w:lastRenderedPageBreak/>
        <w:t>data on the optimal duration of </w:t>
      </w:r>
      <w:proofErr w:type="spellStart"/>
      <w:r w:rsidR="00827046" w:rsidRPr="00B36A7A">
        <w:rPr>
          <w:b/>
          <w:bCs/>
        </w:rPr>
        <w:t>remdesivir</w:t>
      </w:r>
      <w:proofErr w:type="spellEnd"/>
      <w:r w:rsidR="00827046" w:rsidRPr="00B36A7A">
        <w:t xml:space="preserve"> therapy for patients with COVID-19 who have not shown clinical improvement after 5 days of therapy. Some experts extend the total </w:t>
      </w:r>
      <w:proofErr w:type="spellStart"/>
      <w:r w:rsidR="00827046" w:rsidRPr="00B36A7A">
        <w:t>remdesivir</w:t>
      </w:r>
      <w:proofErr w:type="spellEnd"/>
      <w:r w:rsidR="00827046" w:rsidRPr="00B36A7A">
        <w:t xml:space="preserve"> treatment duration to up to 10 days (expert opinion recommendation)</w:t>
      </w:r>
    </w:p>
    <w:p w:rsidR="004726AA" w:rsidRDefault="004726AA" w:rsidP="004726AA">
      <w:pPr>
        <w:pStyle w:val="ListParagraph"/>
        <w:numPr>
          <w:ilvl w:val="0"/>
          <w:numId w:val="18"/>
        </w:numPr>
      </w:pPr>
      <w:r w:rsidRPr="004726AA">
        <w:t>Severe disease is defined by O2 saturation &lt;94% on room air, or requiring supplemental oxygen, mechanical ventilation or ECMO.</w:t>
      </w:r>
    </w:p>
    <w:p w:rsidR="004726AA" w:rsidRDefault="004726AA" w:rsidP="004726AA">
      <w:pPr>
        <w:pStyle w:val="ListParagraph"/>
        <w:numPr>
          <w:ilvl w:val="0"/>
          <w:numId w:val="18"/>
        </w:numPr>
      </w:pPr>
      <w:r>
        <w:t>This medication is restricted to infectious diseases and critical care services</w:t>
      </w:r>
    </w:p>
    <w:p w:rsidR="004726AA" w:rsidRDefault="004726AA" w:rsidP="004726AA">
      <w:pPr>
        <w:pStyle w:val="ListParagraph"/>
        <w:numPr>
          <w:ilvl w:val="0"/>
          <w:numId w:val="18"/>
        </w:numPr>
      </w:pPr>
      <w:r>
        <w:t>Dosing:</w:t>
      </w:r>
    </w:p>
    <w:p w:rsidR="004726AA" w:rsidRDefault="004726AA" w:rsidP="004726AA">
      <w:pPr>
        <w:pStyle w:val="ListParagraph"/>
        <w:numPr>
          <w:ilvl w:val="0"/>
          <w:numId w:val="19"/>
        </w:numPr>
      </w:pPr>
      <w:r>
        <w:t>Loading dose of 200 mg IV day 1 followed by</w:t>
      </w:r>
    </w:p>
    <w:p w:rsidR="004726AA" w:rsidRDefault="004726AA" w:rsidP="004726AA">
      <w:pPr>
        <w:pStyle w:val="ListParagraph"/>
        <w:numPr>
          <w:ilvl w:val="0"/>
          <w:numId w:val="19"/>
        </w:numPr>
      </w:pPr>
      <w:r>
        <w:t>Maintenance dose of 100 mg IV q24h for 9 more days in vented/ECMO patients, 4 more days in non- ventilated patient</w:t>
      </w:r>
    </w:p>
    <w:p w:rsidR="005A1CFB" w:rsidRPr="00B36A7A" w:rsidRDefault="005A1CFB" w:rsidP="004726AA">
      <w:pPr>
        <w:pStyle w:val="ListParagraph"/>
        <w:numPr>
          <w:ilvl w:val="0"/>
          <w:numId w:val="19"/>
        </w:numPr>
      </w:pPr>
      <w:r w:rsidRPr="00B36A7A">
        <w:t>Of note, the duration of treatment for non-ventilated patient is of 5 days OR until hospital discharge, whichever comes first</w:t>
      </w:r>
    </w:p>
    <w:p w:rsidR="005A1CFB" w:rsidRPr="00B36A7A" w:rsidRDefault="005A1CFB" w:rsidP="004726AA">
      <w:pPr>
        <w:pStyle w:val="ListParagraph"/>
        <w:numPr>
          <w:ilvl w:val="0"/>
          <w:numId w:val="19"/>
        </w:numPr>
      </w:pPr>
      <w:r w:rsidRPr="00B36A7A">
        <w:t xml:space="preserve">Restarting </w:t>
      </w:r>
      <w:proofErr w:type="spellStart"/>
      <w:r w:rsidRPr="00B36A7A">
        <w:t>remdesivir</w:t>
      </w:r>
      <w:proofErr w:type="spellEnd"/>
      <w:r w:rsidRPr="00B36A7A">
        <w:t xml:space="preserve"> after 5 days in patients without clinical improvement or clinical worsening is not encouraged </w:t>
      </w:r>
    </w:p>
    <w:p w:rsidR="004726AA" w:rsidRDefault="004726AA" w:rsidP="004726AA">
      <w:pPr>
        <w:pStyle w:val="ListParagraph"/>
        <w:numPr>
          <w:ilvl w:val="0"/>
          <w:numId w:val="20"/>
        </w:numPr>
      </w:pPr>
      <w:r>
        <w:t xml:space="preserve">Lab monitoring: </w:t>
      </w:r>
    </w:p>
    <w:p w:rsidR="004726AA" w:rsidRDefault="004726AA" w:rsidP="004726AA">
      <w:pPr>
        <w:pStyle w:val="ListParagraph"/>
        <w:numPr>
          <w:ilvl w:val="0"/>
          <w:numId w:val="21"/>
        </w:numPr>
      </w:pPr>
      <w:r>
        <w:t>baseline GFR</w:t>
      </w:r>
    </w:p>
    <w:p w:rsidR="004726AA" w:rsidRDefault="004726AA" w:rsidP="004726AA">
      <w:pPr>
        <w:pStyle w:val="ListParagraph"/>
        <w:numPr>
          <w:ilvl w:val="0"/>
          <w:numId w:val="21"/>
        </w:numPr>
      </w:pPr>
      <w:r>
        <w:t>daily</w:t>
      </w:r>
      <w:r w:rsidR="00193CF5">
        <w:t xml:space="preserve"> CBC, CMP to moni</w:t>
      </w:r>
      <w:r>
        <w:t>tor for toxicity</w:t>
      </w:r>
    </w:p>
    <w:p w:rsidR="004726AA" w:rsidRDefault="004726AA" w:rsidP="004726AA">
      <w:pPr>
        <w:pStyle w:val="ListParagraph"/>
        <w:numPr>
          <w:ilvl w:val="0"/>
          <w:numId w:val="20"/>
        </w:numPr>
      </w:pPr>
      <w:r>
        <w:t>Do not use or discontinue if:</w:t>
      </w:r>
    </w:p>
    <w:p w:rsidR="004726AA" w:rsidRDefault="004726AA" w:rsidP="004726AA">
      <w:pPr>
        <w:pStyle w:val="ListParagraph"/>
        <w:numPr>
          <w:ilvl w:val="0"/>
          <w:numId w:val="22"/>
        </w:numPr>
      </w:pPr>
      <w:r>
        <w:t>GFR&lt;30</w:t>
      </w:r>
    </w:p>
    <w:p w:rsidR="004726AA" w:rsidRDefault="004726AA" w:rsidP="004726AA">
      <w:pPr>
        <w:pStyle w:val="ListParagraph"/>
        <w:numPr>
          <w:ilvl w:val="0"/>
          <w:numId w:val="22"/>
        </w:numPr>
      </w:pPr>
      <w:r>
        <w:t>ALT&gt;5 times normal</w:t>
      </w:r>
    </w:p>
    <w:p w:rsidR="004726AA" w:rsidRDefault="004726AA" w:rsidP="004726AA">
      <w:pPr>
        <w:pStyle w:val="ListParagraph"/>
        <w:numPr>
          <w:ilvl w:val="0"/>
          <w:numId w:val="22"/>
        </w:numPr>
      </w:pPr>
      <w:r>
        <w:t>Evidence of liver dysfunction by other parameters</w:t>
      </w:r>
    </w:p>
    <w:p w:rsidR="004726AA" w:rsidRDefault="004726AA" w:rsidP="004726AA">
      <w:pPr>
        <w:pStyle w:val="ListParagraph"/>
        <w:numPr>
          <w:ilvl w:val="0"/>
          <w:numId w:val="22"/>
        </w:numPr>
      </w:pPr>
      <w:r>
        <w:t xml:space="preserve">Adverse events judged to be due to </w:t>
      </w:r>
      <w:proofErr w:type="spellStart"/>
      <w:r>
        <w:t>Remdesivir</w:t>
      </w:r>
      <w:proofErr w:type="spellEnd"/>
    </w:p>
    <w:p w:rsidR="004726AA" w:rsidRDefault="00CA5B65" w:rsidP="00193CF5">
      <w:pPr>
        <w:pStyle w:val="ListParagraph"/>
        <w:numPr>
          <w:ilvl w:val="0"/>
          <w:numId w:val="23"/>
        </w:numPr>
      </w:pPr>
      <w:r>
        <w:t xml:space="preserve">Prior to starting the treatment fact sheet needs to be provided to the patient or family and alternatives </w:t>
      </w:r>
      <w:proofErr w:type="gramStart"/>
      <w:r>
        <w:t>discussed</w:t>
      </w:r>
      <w:proofErr w:type="gramEnd"/>
      <w:r>
        <w:t xml:space="preserve">. </w:t>
      </w:r>
      <w:hyperlink r:id="rId6" w:history="1">
        <w:r w:rsidR="00193CF5" w:rsidRPr="00210A1E">
          <w:rPr>
            <w:rStyle w:val="Hyperlink"/>
          </w:rPr>
          <w:t>https://www.fda.gov/media/137565/download</w:t>
        </w:r>
      </w:hyperlink>
      <w:r w:rsidR="00193CF5">
        <w:t xml:space="preserve"> </w:t>
      </w:r>
    </w:p>
    <w:p w:rsidR="00CA5B65" w:rsidRDefault="00CA5B65" w:rsidP="00CA5B65">
      <w:pPr>
        <w:pStyle w:val="ListParagraph"/>
        <w:numPr>
          <w:ilvl w:val="0"/>
          <w:numId w:val="23"/>
        </w:numPr>
      </w:pPr>
      <w:r>
        <w:t>Document in the progress note acceptance or denial of this treatment</w:t>
      </w:r>
      <w:r w:rsidR="00193CF5">
        <w:t>, discussion of alternatives</w:t>
      </w:r>
      <w:r>
        <w:t xml:space="preserve"> and the fact they were informed it is an unapproved treatment and only authorized under EUA</w:t>
      </w:r>
    </w:p>
    <w:p w:rsidR="00CA5B65" w:rsidRDefault="00CA5B65" w:rsidP="00CA5B65">
      <w:pPr>
        <w:pStyle w:val="ListParagraph"/>
        <w:numPr>
          <w:ilvl w:val="0"/>
          <w:numId w:val="23"/>
        </w:numPr>
      </w:pPr>
      <w:r>
        <w:t>Immediately report any adverse events or administration errors to pharmacy</w:t>
      </w:r>
    </w:p>
    <w:p w:rsidR="00CA5B65" w:rsidRDefault="00CA5B65" w:rsidP="00CA5B65">
      <w:pPr>
        <w:pStyle w:val="ListParagraph"/>
        <w:ind w:left="1440"/>
      </w:pPr>
    </w:p>
    <w:p w:rsidR="007E1023" w:rsidRDefault="007E1023" w:rsidP="00CA5B65">
      <w:pPr>
        <w:pStyle w:val="ListParagraph"/>
        <w:numPr>
          <w:ilvl w:val="0"/>
          <w:numId w:val="3"/>
        </w:numPr>
      </w:pPr>
      <w:proofErr w:type="spellStart"/>
      <w:r w:rsidRPr="00CA5B65">
        <w:rPr>
          <w:b/>
        </w:rPr>
        <w:t>Hydroxychloroquine</w:t>
      </w:r>
      <w:proofErr w:type="spellEnd"/>
      <w:r w:rsidR="00F91560" w:rsidRPr="00CA5B65">
        <w:rPr>
          <w:b/>
        </w:rPr>
        <w:t xml:space="preserve"> </w:t>
      </w:r>
      <w:r w:rsidR="00F91560" w:rsidRPr="00F91560">
        <w:t>is not recommended</w:t>
      </w:r>
      <w:r w:rsidR="00F91560">
        <w:t xml:space="preserve"> based on the available data.</w:t>
      </w:r>
    </w:p>
    <w:p w:rsidR="006A6034" w:rsidRDefault="007E1023" w:rsidP="00F91560">
      <w:pPr>
        <w:pStyle w:val="ListParagraph"/>
        <w:numPr>
          <w:ilvl w:val="0"/>
          <w:numId w:val="1"/>
        </w:numPr>
      </w:pPr>
      <w:r w:rsidRPr="007E1023">
        <w:t>I</w:t>
      </w:r>
      <w:r w:rsidR="00F91560">
        <w:t>f the individual physician decides to use it, please consider monitoring for toxicity</w:t>
      </w:r>
    </w:p>
    <w:p w:rsidR="006A6034" w:rsidRDefault="006A6034" w:rsidP="004726AA">
      <w:pPr>
        <w:pStyle w:val="ListParagraph"/>
        <w:numPr>
          <w:ilvl w:val="0"/>
          <w:numId w:val="17"/>
        </w:numPr>
      </w:pPr>
      <w:proofErr w:type="gramStart"/>
      <w:r>
        <w:t>baseline</w:t>
      </w:r>
      <w:proofErr w:type="gramEnd"/>
      <w:r>
        <w:t xml:space="preserve"> (pre-treatment EKG) and daily EKG for the duration of treatment. Keep patient on telemetry for the duration of treatment</w:t>
      </w:r>
    </w:p>
    <w:p w:rsidR="009879F3" w:rsidRDefault="009879F3" w:rsidP="004726AA">
      <w:pPr>
        <w:pStyle w:val="ListParagraph"/>
        <w:numPr>
          <w:ilvl w:val="0"/>
          <w:numId w:val="17"/>
        </w:numPr>
      </w:pPr>
      <w:r>
        <w:t xml:space="preserve">If baseline </w:t>
      </w:r>
      <w:proofErr w:type="spellStart"/>
      <w:r>
        <w:t>QTc</w:t>
      </w:r>
      <w:proofErr w:type="spellEnd"/>
      <w:r>
        <w:t xml:space="preserve"> is &gt;475 </w:t>
      </w:r>
      <w:proofErr w:type="spellStart"/>
      <w:r>
        <w:t>ms</w:t>
      </w:r>
      <w:proofErr w:type="spellEnd"/>
      <w:r>
        <w:t xml:space="preserve"> </w:t>
      </w:r>
      <w:r w:rsidR="00F91560">
        <w:t>– not recommended</w:t>
      </w:r>
    </w:p>
    <w:p w:rsidR="006A6034" w:rsidRDefault="006A6034" w:rsidP="004726AA">
      <w:pPr>
        <w:pStyle w:val="ListParagraph"/>
        <w:numPr>
          <w:ilvl w:val="0"/>
          <w:numId w:val="17"/>
        </w:numPr>
      </w:pPr>
      <w:r>
        <w:t xml:space="preserve">Discontinuation: if </w:t>
      </w:r>
      <w:proofErr w:type="spellStart"/>
      <w:r>
        <w:t>QTc</w:t>
      </w:r>
      <w:proofErr w:type="spellEnd"/>
      <w:r>
        <w:t xml:space="preserve"> &gt;500ms or &gt;550ms if paced</w:t>
      </w:r>
    </w:p>
    <w:p w:rsidR="006A6034" w:rsidRDefault="006A6034" w:rsidP="004726AA">
      <w:pPr>
        <w:pStyle w:val="ListParagraph"/>
        <w:numPr>
          <w:ilvl w:val="0"/>
          <w:numId w:val="17"/>
        </w:numPr>
      </w:pPr>
      <w:r>
        <w:t>Monitor potassium and magnesium levels daily and keep normal</w:t>
      </w:r>
    </w:p>
    <w:p w:rsidR="00333EA8" w:rsidRDefault="00F91560" w:rsidP="006A6034">
      <w:pPr>
        <w:pStyle w:val="ListParagraph"/>
        <w:numPr>
          <w:ilvl w:val="0"/>
          <w:numId w:val="1"/>
        </w:numPr>
      </w:pPr>
      <w:r>
        <w:t xml:space="preserve">Addition of azithromycin is discouraged </w:t>
      </w:r>
      <w:r w:rsidR="00333EA8">
        <w:t>a</w:t>
      </w:r>
      <w:r>
        <w:t>s it is</w:t>
      </w:r>
      <w:r w:rsidR="00333EA8">
        <w:t xml:space="preserve"> not demonstrated to be </w:t>
      </w:r>
      <w:r>
        <w:t>beneficial and it showed potential harm</w:t>
      </w:r>
    </w:p>
    <w:p w:rsidR="006A6034" w:rsidRPr="00B36A7A" w:rsidRDefault="005A1CFB" w:rsidP="006A6034">
      <w:pPr>
        <w:pStyle w:val="ListParagraph"/>
        <w:numPr>
          <w:ilvl w:val="0"/>
          <w:numId w:val="3"/>
        </w:numPr>
      </w:pPr>
      <w:r w:rsidRPr="00B36A7A">
        <w:rPr>
          <w:b/>
        </w:rPr>
        <w:t>Dexamethasone or m</w:t>
      </w:r>
      <w:r w:rsidR="006A6034" w:rsidRPr="00B36A7A">
        <w:rPr>
          <w:b/>
        </w:rPr>
        <w:t>ethylprednisolone</w:t>
      </w:r>
      <w:r w:rsidR="006A6034" w:rsidRPr="00B36A7A">
        <w:t xml:space="preserve"> in patients meeting a majority of the following criteria AND with a positive COVID-19 test:</w:t>
      </w:r>
    </w:p>
    <w:p w:rsidR="006A6034" w:rsidRDefault="005A1CFB" w:rsidP="009A67DA">
      <w:pPr>
        <w:pStyle w:val="ListParagraph"/>
        <w:numPr>
          <w:ilvl w:val="0"/>
          <w:numId w:val="4"/>
        </w:numPr>
      </w:pPr>
      <w:r>
        <w:t>Increasing O2 requirements or &gt;2</w:t>
      </w:r>
      <w:r w:rsidR="006A6034">
        <w:t xml:space="preserve"> L O2 on NC</w:t>
      </w:r>
    </w:p>
    <w:p w:rsidR="006A6034" w:rsidRDefault="006A6034" w:rsidP="009A67DA">
      <w:pPr>
        <w:pStyle w:val="ListParagraph"/>
        <w:numPr>
          <w:ilvl w:val="0"/>
          <w:numId w:val="4"/>
        </w:numPr>
      </w:pPr>
      <w:r>
        <w:lastRenderedPageBreak/>
        <w:t>Significant bilateral infiltrates on CXR or other pulmonary imaging studies</w:t>
      </w:r>
    </w:p>
    <w:p w:rsidR="006A6034" w:rsidRDefault="006A6034" w:rsidP="009A67DA">
      <w:pPr>
        <w:pStyle w:val="ListParagraph"/>
        <w:numPr>
          <w:ilvl w:val="0"/>
          <w:numId w:val="4"/>
        </w:numPr>
      </w:pPr>
      <w:r>
        <w:t>Significant dyspnea and/or tachypnea</w:t>
      </w:r>
    </w:p>
    <w:p w:rsidR="006A6034" w:rsidRDefault="006A6034" w:rsidP="009A67DA">
      <w:pPr>
        <w:pStyle w:val="ListParagraph"/>
        <w:numPr>
          <w:ilvl w:val="0"/>
          <w:numId w:val="4"/>
        </w:numPr>
      </w:pPr>
      <w:r>
        <w:t>Elevated or increasing inflammatory markers: ESR, CRP, Ferritin. Consider checking these at baseline and q48h if clinically warranted or elevated</w:t>
      </w:r>
    </w:p>
    <w:p w:rsidR="00402B87" w:rsidRPr="00491582" w:rsidRDefault="00402B87" w:rsidP="00201E5C">
      <w:pPr>
        <w:pStyle w:val="ListParagraph"/>
        <w:numPr>
          <w:ilvl w:val="0"/>
          <w:numId w:val="1"/>
        </w:numPr>
      </w:pPr>
      <w:r w:rsidRPr="00491582">
        <w:t xml:space="preserve">Suggested dose: </w:t>
      </w:r>
      <w:r w:rsidR="00CC772F" w:rsidRPr="00491582">
        <w:t xml:space="preserve">Methylprednisolone </w:t>
      </w:r>
      <w:r w:rsidRPr="00491582">
        <w:t xml:space="preserve">40 mg IV q8h </w:t>
      </w:r>
      <w:r w:rsidR="00CC772F" w:rsidRPr="00491582">
        <w:t xml:space="preserve">or Dexamethasone 6 mg IV or PO daily for up to 10 days </w:t>
      </w:r>
    </w:p>
    <w:p w:rsidR="00201E5C" w:rsidRDefault="00201E5C" w:rsidP="00201E5C">
      <w:pPr>
        <w:pStyle w:val="ListParagraph"/>
        <w:numPr>
          <w:ilvl w:val="0"/>
          <w:numId w:val="1"/>
        </w:numPr>
      </w:pPr>
      <w:r w:rsidRPr="00201E5C">
        <w:t xml:space="preserve">Corticosteroids generally should not be used in early or mild disease </w:t>
      </w:r>
      <w:r w:rsidR="00CC772F">
        <w:t>(</w:t>
      </w:r>
      <w:r w:rsidR="00CC772F" w:rsidRPr="00B36A7A">
        <w:t>not requiring O2 supplementation</w:t>
      </w:r>
      <w:r w:rsidR="00CC772F" w:rsidRPr="00491582">
        <w:t>)</w:t>
      </w:r>
      <w:r w:rsidR="00CC772F">
        <w:t xml:space="preserve"> </w:t>
      </w:r>
      <w:r w:rsidRPr="00201E5C">
        <w:t>since the drugs can inhibit immune response, re</w:t>
      </w:r>
      <w:r>
        <w:t>duce pathogen clearance, and in</w:t>
      </w:r>
      <w:r w:rsidRPr="00201E5C">
        <w:t>crease viral shedding</w:t>
      </w:r>
      <w:r>
        <w:t xml:space="preserve"> </w:t>
      </w:r>
    </w:p>
    <w:p w:rsidR="00201E5C" w:rsidRDefault="00201E5C" w:rsidP="00201E5C">
      <w:pPr>
        <w:pStyle w:val="ListParagraph"/>
        <w:numPr>
          <w:ilvl w:val="0"/>
          <w:numId w:val="3"/>
        </w:numPr>
      </w:pPr>
      <w:r>
        <w:t xml:space="preserve">COVID-19 </w:t>
      </w:r>
      <w:r w:rsidRPr="00402B87">
        <w:rPr>
          <w:b/>
        </w:rPr>
        <w:t>convalescent plasma infusion</w:t>
      </w:r>
      <w:r>
        <w:t xml:space="preserve"> – please see special section below describing criteria and process</w:t>
      </w:r>
    </w:p>
    <w:p w:rsidR="00201E5C" w:rsidRDefault="00201E5C" w:rsidP="00201E5C">
      <w:pPr>
        <w:pStyle w:val="ListParagraph"/>
        <w:numPr>
          <w:ilvl w:val="0"/>
          <w:numId w:val="3"/>
        </w:numPr>
      </w:pPr>
      <w:r>
        <w:t xml:space="preserve">Other therapies </w:t>
      </w:r>
      <w:r w:rsidR="0051011E">
        <w:t xml:space="preserve">(such as </w:t>
      </w:r>
      <w:proofErr w:type="spellStart"/>
      <w:r w:rsidR="0051011E">
        <w:t>Tocilizumab</w:t>
      </w:r>
      <w:proofErr w:type="spellEnd"/>
      <w:r w:rsidR="0051011E">
        <w:t xml:space="preserve">, </w:t>
      </w:r>
      <w:proofErr w:type="spellStart"/>
      <w:r w:rsidR="0051011E">
        <w:t>Sarilumab</w:t>
      </w:r>
      <w:proofErr w:type="spellEnd"/>
      <w:r w:rsidR="0051011E">
        <w:t xml:space="preserve"> </w:t>
      </w:r>
      <w:proofErr w:type="spellStart"/>
      <w:r w:rsidR="0051011E">
        <w:t>etc</w:t>
      </w:r>
      <w:proofErr w:type="spellEnd"/>
      <w:r w:rsidR="0051011E">
        <w:t xml:space="preserve">) </w:t>
      </w:r>
      <w:r>
        <w:t xml:space="preserve">are under investigation and </w:t>
      </w:r>
      <w:r w:rsidRPr="00B36A7A">
        <w:t>available at our institution on a case by case basis with ID consultation</w:t>
      </w:r>
      <w:r w:rsidR="00CC772F" w:rsidRPr="00B36A7A">
        <w:t xml:space="preserve"> for ventilated patients</w:t>
      </w:r>
    </w:p>
    <w:p w:rsidR="00201E5C" w:rsidRDefault="00201E5C" w:rsidP="00201E5C">
      <w:pPr>
        <w:pStyle w:val="ListParagraph"/>
        <w:numPr>
          <w:ilvl w:val="0"/>
          <w:numId w:val="3"/>
        </w:numPr>
      </w:pPr>
      <w:r>
        <w:t xml:space="preserve">In general </w:t>
      </w:r>
      <w:r w:rsidRPr="00201E5C">
        <w:rPr>
          <w:b/>
        </w:rPr>
        <w:t xml:space="preserve">use of antibiotics is discouraged </w:t>
      </w:r>
      <w:r>
        <w:t>(available data supports very low incidence of over-imposed bacterial infections)</w:t>
      </w:r>
      <w:r w:rsidR="00AA2C7B">
        <w:t xml:space="preserve"> – if ordered prefer PO over IV and ID consult</w:t>
      </w:r>
    </w:p>
    <w:p w:rsidR="002E307F" w:rsidRDefault="002E307F" w:rsidP="00201E5C">
      <w:pPr>
        <w:pStyle w:val="ListParagraph"/>
        <w:numPr>
          <w:ilvl w:val="0"/>
          <w:numId w:val="3"/>
        </w:numPr>
      </w:pPr>
      <w:r>
        <w:t xml:space="preserve">Other therapies such as zinc, vitamin C have no proven benefits - no recommendations </w:t>
      </w:r>
    </w:p>
    <w:p w:rsidR="00AA2C7B" w:rsidRDefault="00AA2C7B" w:rsidP="00201E5C">
      <w:pPr>
        <w:pStyle w:val="ListParagraph"/>
        <w:numPr>
          <w:ilvl w:val="0"/>
          <w:numId w:val="3"/>
        </w:numPr>
      </w:pPr>
      <w:r>
        <w:t>NSAIDS not recommended at this time</w:t>
      </w:r>
    </w:p>
    <w:p w:rsidR="000631F6" w:rsidRDefault="000631F6" w:rsidP="00201E5C">
      <w:pPr>
        <w:pStyle w:val="ListParagraph"/>
        <w:numPr>
          <w:ilvl w:val="0"/>
          <w:numId w:val="3"/>
        </w:numPr>
      </w:pPr>
      <w:r>
        <w:t xml:space="preserve">DVT prophylaxis – </w:t>
      </w:r>
      <w:proofErr w:type="spellStart"/>
      <w:r>
        <w:t>Lovenox</w:t>
      </w:r>
      <w:proofErr w:type="spellEnd"/>
      <w:r>
        <w:t>/Heparin if no contraindication</w:t>
      </w:r>
    </w:p>
    <w:p w:rsidR="00201E5C" w:rsidRPr="00157CC3" w:rsidRDefault="00201E5C" w:rsidP="00201E5C">
      <w:pPr>
        <w:ind w:left="360"/>
        <w:rPr>
          <w:b/>
          <w:sz w:val="28"/>
          <w:szCs w:val="28"/>
        </w:rPr>
      </w:pPr>
      <w:r w:rsidRPr="00157CC3">
        <w:rPr>
          <w:b/>
          <w:sz w:val="28"/>
          <w:szCs w:val="28"/>
        </w:rPr>
        <w:t>Criteria for ID consult:</w:t>
      </w:r>
    </w:p>
    <w:p w:rsidR="00201E5C" w:rsidRDefault="00201E5C" w:rsidP="00201E5C">
      <w:pPr>
        <w:pStyle w:val="ListParagraph"/>
        <w:numPr>
          <w:ilvl w:val="0"/>
          <w:numId w:val="1"/>
        </w:numPr>
      </w:pPr>
      <w:r>
        <w:t>Concern for bacterial superimposed infection</w:t>
      </w:r>
    </w:p>
    <w:p w:rsidR="004726AA" w:rsidRDefault="004726AA" w:rsidP="00201E5C">
      <w:pPr>
        <w:pStyle w:val="ListParagraph"/>
        <w:numPr>
          <w:ilvl w:val="0"/>
          <w:numId w:val="1"/>
        </w:numPr>
      </w:pPr>
      <w:r>
        <w:t xml:space="preserve">Need for </w:t>
      </w:r>
      <w:proofErr w:type="spellStart"/>
      <w:r>
        <w:t>Remdesivir</w:t>
      </w:r>
      <w:proofErr w:type="spellEnd"/>
      <w:r>
        <w:t xml:space="preserve"> and/or Convalescent plasma</w:t>
      </w:r>
      <w:r w:rsidR="0077458A">
        <w:t>, Tocilizumab</w:t>
      </w:r>
    </w:p>
    <w:p w:rsidR="00201E5C" w:rsidRDefault="00201E5C" w:rsidP="00201E5C">
      <w:pPr>
        <w:pStyle w:val="ListParagraph"/>
        <w:numPr>
          <w:ilvl w:val="0"/>
          <w:numId w:val="1"/>
        </w:numPr>
      </w:pPr>
      <w:r>
        <w:t xml:space="preserve">Negative COVID-19 test with persistent </w:t>
      </w:r>
      <w:r w:rsidR="0051011E">
        <w:t xml:space="preserve">clinical </w:t>
      </w:r>
      <w:r>
        <w:t>concern for COVID-19</w:t>
      </w:r>
    </w:p>
    <w:p w:rsidR="00201E5C" w:rsidRDefault="00201E5C" w:rsidP="00201E5C">
      <w:pPr>
        <w:pStyle w:val="ListParagraph"/>
        <w:numPr>
          <w:ilvl w:val="0"/>
          <w:numId w:val="1"/>
        </w:numPr>
      </w:pPr>
      <w:r>
        <w:t>Other ID issues that need to be addressed</w:t>
      </w:r>
    </w:p>
    <w:p w:rsidR="00201E5C" w:rsidRDefault="00201E5C" w:rsidP="00201E5C">
      <w:pPr>
        <w:pStyle w:val="ListParagraph"/>
        <w:numPr>
          <w:ilvl w:val="0"/>
          <w:numId w:val="1"/>
        </w:numPr>
      </w:pPr>
      <w:r>
        <w:t>General oversight considered necessary per primary team</w:t>
      </w:r>
    </w:p>
    <w:p w:rsidR="00CE49DD" w:rsidRDefault="00CE49DD" w:rsidP="00CE49DD">
      <w:r w:rsidRPr="00CE49DD">
        <w:t xml:space="preserve">COVID-19 convalescent plasma </w:t>
      </w:r>
      <w:r>
        <w:t>protocol</w:t>
      </w:r>
    </w:p>
    <w:p w:rsidR="00CE49DD" w:rsidRPr="00CE49DD" w:rsidRDefault="00CE49DD" w:rsidP="00CE49DD">
      <w:pPr>
        <w:pStyle w:val="ListParagraph"/>
        <w:numPr>
          <w:ilvl w:val="0"/>
          <w:numId w:val="12"/>
        </w:numPr>
      </w:pPr>
      <w:r w:rsidRPr="00CE49DD">
        <w:t>Description</w:t>
      </w:r>
    </w:p>
    <w:p w:rsidR="00491582" w:rsidRDefault="00491582" w:rsidP="00CE49DD">
      <w:r>
        <w:t>The</w:t>
      </w:r>
      <w:r w:rsidR="00CE49DD">
        <w:t xml:space="preserve"> open label expanded access program</w:t>
      </w:r>
      <w:r>
        <w:t xml:space="preserve"> is no longer in place.</w:t>
      </w:r>
    </w:p>
    <w:p w:rsidR="00CE49DD" w:rsidRDefault="00491582" w:rsidP="00CE49DD">
      <w:r>
        <w:t>M</w:t>
      </w:r>
      <w:r w:rsidR="00CE49DD">
        <w:t xml:space="preserve">atched convalescent plasma </w:t>
      </w:r>
      <w:r>
        <w:t xml:space="preserve">is now </w:t>
      </w:r>
      <w:r w:rsidR="00CE49DD">
        <w:t>available for the treatment of patients in acute care facilities infected with SARS-CoV-2 who have severe or life threatening COVID-19, or who are judged by a healthcare provider to be at high risk for progression to severe or life-threatening disease</w:t>
      </w:r>
      <w:r>
        <w:t xml:space="preserve"> under EUA</w:t>
      </w:r>
      <w:r w:rsidR="00CE49DD">
        <w:t>.</w:t>
      </w:r>
    </w:p>
    <w:p w:rsidR="00CE49DD" w:rsidRDefault="00CE49DD" w:rsidP="002E307F">
      <w:pPr>
        <w:pStyle w:val="ListParagraph"/>
        <w:numPr>
          <w:ilvl w:val="0"/>
          <w:numId w:val="12"/>
        </w:numPr>
      </w:pPr>
      <w:r w:rsidRPr="002E307F">
        <w:t>Volume of plasma to be transfused</w:t>
      </w:r>
      <w:r w:rsidR="002E307F">
        <w:t xml:space="preserve"> - a</w:t>
      </w:r>
      <w:r>
        <w:t xml:space="preserve"> full unit of COVID-19 convalescent plasma or at least 200 </w:t>
      </w:r>
      <w:proofErr w:type="spellStart"/>
      <w:r>
        <w:t>mls</w:t>
      </w:r>
      <w:proofErr w:type="spellEnd"/>
      <w:r>
        <w:t xml:space="preserve"> – single dose</w:t>
      </w:r>
    </w:p>
    <w:p w:rsidR="00CE49DD" w:rsidRPr="002E307F" w:rsidRDefault="002E307F" w:rsidP="002E307F">
      <w:pPr>
        <w:pStyle w:val="ListParagraph"/>
        <w:numPr>
          <w:ilvl w:val="0"/>
          <w:numId w:val="12"/>
        </w:numPr>
      </w:pPr>
      <w:r>
        <w:t>Inclusion criteria</w:t>
      </w:r>
    </w:p>
    <w:p w:rsidR="00CE49DD" w:rsidRDefault="00CE49DD" w:rsidP="002E307F">
      <w:pPr>
        <w:pStyle w:val="ListParagraph"/>
        <w:numPr>
          <w:ilvl w:val="0"/>
          <w:numId w:val="13"/>
        </w:numPr>
      </w:pPr>
      <w:r>
        <w:t>Age of at least 18 years</w:t>
      </w:r>
    </w:p>
    <w:p w:rsidR="00CE49DD" w:rsidRDefault="00CE49DD" w:rsidP="002E307F">
      <w:pPr>
        <w:pStyle w:val="ListParagraph"/>
        <w:numPr>
          <w:ilvl w:val="0"/>
          <w:numId w:val="13"/>
        </w:numPr>
      </w:pPr>
      <w:r>
        <w:t>Laboratory confirmed diagnosis of infection with SARS-CoV-2</w:t>
      </w:r>
    </w:p>
    <w:p w:rsidR="00CE49DD" w:rsidRDefault="00CE49DD" w:rsidP="002E307F">
      <w:pPr>
        <w:pStyle w:val="ListParagraph"/>
        <w:numPr>
          <w:ilvl w:val="0"/>
          <w:numId w:val="13"/>
        </w:numPr>
      </w:pPr>
      <w:r>
        <w:t>Admitted to an acute care facility for the treatment of COVID-19 complications</w:t>
      </w:r>
    </w:p>
    <w:p w:rsidR="00CE49DD" w:rsidRDefault="00CE49DD" w:rsidP="002E307F">
      <w:pPr>
        <w:pStyle w:val="ListParagraph"/>
        <w:numPr>
          <w:ilvl w:val="0"/>
          <w:numId w:val="13"/>
        </w:numPr>
      </w:pPr>
      <w:r>
        <w:lastRenderedPageBreak/>
        <w:t xml:space="preserve">Severe or life-threatening COVID-19, or judged by the treating provider to be at high risk of progression to </w:t>
      </w:r>
      <w:r w:rsidRPr="008D280B">
        <w:t>severe or life-threatening disease</w:t>
      </w:r>
    </w:p>
    <w:p w:rsidR="00CE49DD" w:rsidRDefault="00CE49DD" w:rsidP="002E307F">
      <w:pPr>
        <w:pStyle w:val="ListParagraph"/>
        <w:numPr>
          <w:ilvl w:val="0"/>
          <w:numId w:val="13"/>
        </w:numPr>
      </w:pPr>
      <w:r>
        <w:t>Informed consent provided by patient or healthcare proxy</w:t>
      </w:r>
      <w:r w:rsidR="00491582">
        <w:t xml:space="preserve"> is no longer required – please provide fact sheet that can be found at </w:t>
      </w:r>
      <w:hyperlink r:id="rId7" w:history="1">
        <w:r w:rsidR="00491582" w:rsidRPr="00491582">
          <w:rPr>
            <w:color w:val="0000FF"/>
            <w:highlight w:val="yellow"/>
            <w:u w:val="single"/>
          </w:rPr>
          <w:t>https://www.fda.gov/media/141478/download</w:t>
        </w:r>
      </w:hyperlink>
    </w:p>
    <w:p w:rsidR="00CE49DD" w:rsidRPr="002E307F" w:rsidRDefault="00CE49DD" w:rsidP="002E307F">
      <w:pPr>
        <w:pStyle w:val="ListParagraph"/>
        <w:numPr>
          <w:ilvl w:val="0"/>
          <w:numId w:val="14"/>
        </w:numPr>
        <w:ind w:left="720"/>
      </w:pPr>
      <w:r w:rsidRPr="002E307F">
        <w:t>Severe COVID-19 disease is defined by one or more of the following:</w:t>
      </w:r>
    </w:p>
    <w:p w:rsidR="00CE49DD" w:rsidRDefault="00CE49DD" w:rsidP="002E307F">
      <w:pPr>
        <w:pStyle w:val="ListParagraph"/>
        <w:numPr>
          <w:ilvl w:val="0"/>
          <w:numId w:val="9"/>
        </w:numPr>
        <w:ind w:left="1440"/>
      </w:pPr>
      <w:r>
        <w:t>Dyspnea</w:t>
      </w:r>
    </w:p>
    <w:p w:rsidR="00CE49DD" w:rsidRDefault="00CE49DD" w:rsidP="002E307F">
      <w:pPr>
        <w:pStyle w:val="ListParagraph"/>
        <w:numPr>
          <w:ilvl w:val="0"/>
          <w:numId w:val="9"/>
        </w:numPr>
        <w:ind w:left="1440"/>
      </w:pPr>
      <w:r>
        <w:t>Respiratory frequency &gt;30/min</w:t>
      </w:r>
    </w:p>
    <w:p w:rsidR="00CE49DD" w:rsidRDefault="00CE49DD" w:rsidP="002E307F">
      <w:pPr>
        <w:pStyle w:val="ListParagraph"/>
        <w:numPr>
          <w:ilvl w:val="0"/>
          <w:numId w:val="9"/>
        </w:numPr>
        <w:ind w:left="1440"/>
      </w:pPr>
      <w:r>
        <w:t>Blood oxygen situation &lt;93%</w:t>
      </w:r>
    </w:p>
    <w:p w:rsidR="00CE49DD" w:rsidRDefault="00CE49DD" w:rsidP="002E307F">
      <w:pPr>
        <w:pStyle w:val="ListParagraph"/>
        <w:numPr>
          <w:ilvl w:val="0"/>
          <w:numId w:val="9"/>
        </w:numPr>
        <w:ind w:left="1440"/>
      </w:pPr>
      <w:r>
        <w:t>Partial pressure of arterial oxygen to fraction of inspired oxygen ration &lt;300</w:t>
      </w:r>
    </w:p>
    <w:p w:rsidR="00CE49DD" w:rsidRDefault="00CE49DD" w:rsidP="002E307F">
      <w:pPr>
        <w:pStyle w:val="ListParagraph"/>
        <w:numPr>
          <w:ilvl w:val="0"/>
          <w:numId w:val="9"/>
        </w:numPr>
        <w:ind w:left="1440"/>
      </w:pPr>
      <w:r>
        <w:t>Lung infiltrates &gt;50% within 24-48h</w:t>
      </w:r>
    </w:p>
    <w:p w:rsidR="00CE49DD" w:rsidRPr="002E307F" w:rsidRDefault="00CE49DD" w:rsidP="002E307F">
      <w:pPr>
        <w:pStyle w:val="ListParagraph"/>
        <w:numPr>
          <w:ilvl w:val="0"/>
          <w:numId w:val="15"/>
        </w:numPr>
        <w:ind w:left="720"/>
      </w:pPr>
      <w:r w:rsidRPr="002E307F">
        <w:t>Life-</w:t>
      </w:r>
      <w:r w:rsidR="002E307F">
        <w:t>threatening COVID-109 is defined</w:t>
      </w:r>
      <w:r w:rsidRPr="002E307F">
        <w:t xml:space="preserve"> as one or more of the following:</w:t>
      </w:r>
    </w:p>
    <w:p w:rsidR="00CE49DD" w:rsidRDefault="00CE49DD" w:rsidP="002E307F">
      <w:pPr>
        <w:pStyle w:val="ListParagraph"/>
        <w:numPr>
          <w:ilvl w:val="0"/>
          <w:numId w:val="10"/>
        </w:numPr>
        <w:ind w:left="1440"/>
      </w:pPr>
      <w:r>
        <w:t>Respiratory failure</w:t>
      </w:r>
    </w:p>
    <w:p w:rsidR="00CE49DD" w:rsidRDefault="00CE49DD" w:rsidP="002E307F">
      <w:pPr>
        <w:pStyle w:val="ListParagraph"/>
        <w:numPr>
          <w:ilvl w:val="0"/>
          <w:numId w:val="10"/>
        </w:numPr>
        <w:ind w:left="1440"/>
      </w:pPr>
      <w:r>
        <w:t>Septic shock</w:t>
      </w:r>
    </w:p>
    <w:p w:rsidR="00CE49DD" w:rsidRDefault="00CE49DD" w:rsidP="002E307F">
      <w:pPr>
        <w:pStyle w:val="ListParagraph"/>
        <w:numPr>
          <w:ilvl w:val="0"/>
          <w:numId w:val="10"/>
        </w:numPr>
        <w:ind w:left="1440"/>
      </w:pPr>
      <w:r>
        <w:t>Multiple organ dysfunction or failure</w:t>
      </w:r>
    </w:p>
    <w:p w:rsidR="00CE49DD" w:rsidRPr="002E307F" w:rsidRDefault="00CE49DD" w:rsidP="002E307F">
      <w:pPr>
        <w:pStyle w:val="ListParagraph"/>
        <w:numPr>
          <w:ilvl w:val="0"/>
          <w:numId w:val="12"/>
        </w:numPr>
      </w:pPr>
      <w:r w:rsidRPr="002E307F">
        <w:t>Strategy for recruitment:</w:t>
      </w:r>
    </w:p>
    <w:p w:rsidR="00CE49DD" w:rsidRDefault="00CE49DD" w:rsidP="00CE49DD">
      <w:pPr>
        <w:pStyle w:val="ListParagraph"/>
        <w:numPr>
          <w:ilvl w:val="0"/>
          <w:numId w:val="11"/>
        </w:numPr>
      </w:pPr>
      <w:r>
        <w:t xml:space="preserve">patients eligible for </w:t>
      </w:r>
      <w:r w:rsidR="00491582">
        <w:t>convalescent plasma</w:t>
      </w:r>
      <w:r>
        <w:t xml:space="preserve"> will be identified by the treating physician or provider</w:t>
      </w:r>
    </w:p>
    <w:p w:rsidR="00CA5B65" w:rsidRDefault="00C608B7" w:rsidP="00193CF5">
      <w:pPr>
        <w:pStyle w:val="ListParagraph"/>
        <w:numPr>
          <w:ilvl w:val="0"/>
          <w:numId w:val="11"/>
        </w:numPr>
      </w:pPr>
      <w:proofErr w:type="gramStart"/>
      <w:r>
        <w:t>consent</w:t>
      </w:r>
      <w:proofErr w:type="gramEnd"/>
      <w:r>
        <w:t xml:space="preserve"> is </w:t>
      </w:r>
      <w:r w:rsidR="00491582">
        <w:t>no longer necessary</w:t>
      </w:r>
      <w:r>
        <w:t>. Instead, please provide fact sheet from FDA-</w:t>
      </w:r>
      <w:hyperlink r:id="rId8" w:history="1">
        <w:r>
          <w:rPr>
            <w:rStyle w:val="Hyperlink"/>
          </w:rPr>
          <w:t>https://www.fda.gov/media/141478/download</w:t>
        </w:r>
      </w:hyperlink>
    </w:p>
    <w:p w:rsidR="00CE49DD" w:rsidRDefault="00CE49DD" w:rsidP="00CE49DD">
      <w:pPr>
        <w:pStyle w:val="ListParagraph"/>
        <w:numPr>
          <w:ilvl w:val="0"/>
          <w:numId w:val="11"/>
        </w:numPr>
      </w:pPr>
      <w:r>
        <w:t xml:space="preserve">treating physician to contact </w:t>
      </w:r>
      <w:r w:rsidRPr="008756AA">
        <w:rPr>
          <w:b/>
        </w:rPr>
        <w:t xml:space="preserve">ID Physician on call </w:t>
      </w:r>
      <w:r>
        <w:t xml:space="preserve">for University Hospital </w:t>
      </w:r>
      <w:r w:rsidR="00491582">
        <w:t>for evaluation</w:t>
      </w:r>
      <w:r>
        <w:t xml:space="preserve"> </w:t>
      </w:r>
    </w:p>
    <w:p w:rsidR="00402B87" w:rsidRPr="00B36A7A" w:rsidRDefault="00D95F79" w:rsidP="00157CC3">
      <w:pPr>
        <w:rPr>
          <w:b/>
          <w:sz w:val="28"/>
          <w:szCs w:val="28"/>
        </w:rPr>
      </w:pPr>
      <w:bookmarkStart w:id="0" w:name="_GoBack"/>
      <w:bookmarkEnd w:id="0"/>
      <w:r w:rsidRPr="00B36A7A">
        <w:rPr>
          <w:b/>
          <w:sz w:val="28"/>
          <w:szCs w:val="28"/>
        </w:rPr>
        <w:t>Discontinuation of precautions criteria for confirmed COVID 19 cases</w:t>
      </w:r>
    </w:p>
    <w:p w:rsidR="00D95F79" w:rsidRPr="00B36A7A" w:rsidRDefault="00827046" w:rsidP="00402B87">
      <w:pPr>
        <w:ind w:left="360"/>
      </w:pPr>
      <w:r w:rsidRPr="00B36A7A">
        <w:t xml:space="preserve">1. </w:t>
      </w:r>
      <w:proofErr w:type="gramStart"/>
      <w:r w:rsidRPr="00B36A7A">
        <w:t>symptomatic  patients</w:t>
      </w:r>
      <w:proofErr w:type="gramEnd"/>
      <w:r w:rsidRPr="00B36A7A">
        <w:t xml:space="preserve">: 10 days after symptom onset and 1 days without fever and antipyretics and improvement of symptoms. For severe and critical cases </w:t>
      </w:r>
      <w:r w:rsidR="00491582">
        <w:t xml:space="preserve">at least 10 and up to </w:t>
      </w:r>
      <w:r w:rsidRPr="00B36A7A">
        <w:t>20 days</w:t>
      </w:r>
    </w:p>
    <w:p w:rsidR="00827046" w:rsidRDefault="00827046" w:rsidP="00402B87">
      <w:pPr>
        <w:ind w:left="360"/>
      </w:pPr>
      <w:r w:rsidRPr="00B36A7A">
        <w:t xml:space="preserve">2. </w:t>
      </w:r>
      <w:proofErr w:type="gramStart"/>
      <w:r w:rsidRPr="00B36A7A">
        <w:t>asymptomatic  patients</w:t>
      </w:r>
      <w:proofErr w:type="gramEnd"/>
      <w:r w:rsidRPr="00B36A7A">
        <w:t>: 10 days after positive test. If they become symptomatic during this 10 days period follow #1</w:t>
      </w:r>
    </w:p>
    <w:sectPr w:rsidR="0082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6A4"/>
    <w:multiLevelType w:val="hybridMultilevel"/>
    <w:tmpl w:val="84BA6ADE"/>
    <w:lvl w:ilvl="0" w:tplc="FDC031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15B7F"/>
    <w:multiLevelType w:val="hybridMultilevel"/>
    <w:tmpl w:val="AEA467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B4AAE"/>
    <w:multiLevelType w:val="hybridMultilevel"/>
    <w:tmpl w:val="7DFA63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733A1"/>
    <w:multiLevelType w:val="hybridMultilevel"/>
    <w:tmpl w:val="A300DF32"/>
    <w:lvl w:ilvl="0" w:tplc="FDC0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DC031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7572"/>
    <w:multiLevelType w:val="hybridMultilevel"/>
    <w:tmpl w:val="B6F215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A8659A"/>
    <w:multiLevelType w:val="hybridMultilevel"/>
    <w:tmpl w:val="1C6815A8"/>
    <w:lvl w:ilvl="0" w:tplc="FDC0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63D80"/>
    <w:multiLevelType w:val="hybridMultilevel"/>
    <w:tmpl w:val="2BB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F97"/>
    <w:multiLevelType w:val="hybridMultilevel"/>
    <w:tmpl w:val="286614FE"/>
    <w:lvl w:ilvl="0" w:tplc="FDC0314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16F36"/>
    <w:multiLevelType w:val="hybridMultilevel"/>
    <w:tmpl w:val="F35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47E7"/>
    <w:multiLevelType w:val="hybridMultilevel"/>
    <w:tmpl w:val="CF1E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05552"/>
    <w:multiLevelType w:val="hybridMultilevel"/>
    <w:tmpl w:val="DBAE4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12FA5C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61A5A"/>
    <w:multiLevelType w:val="hybridMultilevel"/>
    <w:tmpl w:val="26E44F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751770"/>
    <w:multiLevelType w:val="hybridMultilevel"/>
    <w:tmpl w:val="7526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03C8"/>
    <w:multiLevelType w:val="hybridMultilevel"/>
    <w:tmpl w:val="A222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256FC"/>
    <w:multiLevelType w:val="hybridMultilevel"/>
    <w:tmpl w:val="8556B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E32F9F"/>
    <w:multiLevelType w:val="hybridMultilevel"/>
    <w:tmpl w:val="7786AC76"/>
    <w:lvl w:ilvl="0" w:tplc="FDC0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71594"/>
    <w:multiLevelType w:val="hybridMultilevel"/>
    <w:tmpl w:val="2D08E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9F33B2"/>
    <w:multiLevelType w:val="hybridMultilevel"/>
    <w:tmpl w:val="FEF0D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A319F6"/>
    <w:multiLevelType w:val="hybridMultilevel"/>
    <w:tmpl w:val="514C2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031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A528D4"/>
    <w:multiLevelType w:val="hybridMultilevel"/>
    <w:tmpl w:val="EEAAB38A"/>
    <w:lvl w:ilvl="0" w:tplc="FDC031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561EE4"/>
    <w:multiLevelType w:val="hybridMultilevel"/>
    <w:tmpl w:val="8B629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527468"/>
    <w:multiLevelType w:val="hybridMultilevel"/>
    <w:tmpl w:val="28A6D52E"/>
    <w:lvl w:ilvl="0" w:tplc="FDC031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67484B"/>
    <w:multiLevelType w:val="hybridMultilevel"/>
    <w:tmpl w:val="E3CA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C6FCE"/>
    <w:multiLevelType w:val="hybridMultilevel"/>
    <w:tmpl w:val="070CB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4"/>
  </w:num>
  <w:num w:numId="5">
    <w:abstractNumId w:val="10"/>
  </w:num>
  <w:num w:numId="6">
    <w:abstractNumId w:val="19"/>
  </w:num>
  <w:num w:numId="7">
    <w:abstractNumId w:val="3"/>
  </w:num>
  <w:num w:numId="8">
    <w:abstractNumId w:val="9"/>
  </w:num>
  <w:num w:numId="9">
    <w:abstractNumId w:val="14"/>
  </w:num>
  <w:num w:numId="10">
    <w:abstractNumId w:val="23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  <w:num w:numId="16">
    <w:abstractNumId w:val="5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0"/>
    <w:rsid w:val="000631F6"/>
    <w:rsid w:val="00086F10"/>
    <w:rsid w:val="00157CC3"/>
    <w:rsid w:val="00193CF5"/>
    <w:rsid w:val="00201E5C"/>
    <w:rsid w:val="002C15EF"/>
    <w:rsid w:val="002E307F"/>
    <w:rsid w:val="00333EA8"/>
    <w:rsid w:val="00402B87"/>
    <w:rsid w:val="004034FE"/>
    <w:rsid w:val="004726AA"/>
    <w:rsid w:val="00491582"/>
    <w:rsid w:val="0051011E"/>
    <w:rsid w:val="005A1CFB"/>
    <w:rsid w:val="006A1280"/>
    <w:rsid w:val="006A1563"/>
    <w:rsid w:val="006A6034"/>
    <w:rsid w:val="006A6C59"/>
    <w:rsid w:val="006B44D5"/>
    <w:rsid w:val="0077458A"/>
    <w:rsid w:val="007948DE"/>
    <w:rsid w:val="007E1023"/>
    <w:rsid w:val="00827046"/>
    <w:rsid w:val="009043C8"/>
    <w:rsid w:val="00913766"/>
    <w:rsid w:val="009879F3"/>
    <w:rsid w:val="009A67DA"/>
    <w:rsid w:val="009B776F"/>
    <w:rsid w:val="00AA2C7B"/>
    <w:rsid w:val="00B36A7A"/>
    <w:rsid w:val="00C608B7"/>
    <w:rsid w:val="00C9139B"/>
    <w:rsid w:val="00CA5B65"/>
    <w:rsid w:val="00CC772F"/>
    <w:rsid w:val="00CE49DD"/>
    <w:rsid w:val="00D95F79"/>
    <w:rsid w:val="00E2556D"/>
    <w:rsid w:val="00E750A0"/>
    <w:rsid w:val="00F210C0"/>
    <w:rsid w:val="00F6341A"/>
    <w:rsid w:val="00F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141478/downl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da.gov/media/141478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da.gov/media/137565/downlo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Care System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Chirca</dc:creator>
  <cp:lastModifiedBy>Ioana Chirca</cp:lastModifiedBy>
  <cp:revision>2</cp:revision>
  <cp:lastPrinted>2020-03-17T19:55:00Z</cp:lastPrinted>
  <dcterms:created xsi:type="dcterms:W3CDTF">2020-08-31T15:55:00Z</dcterms:created>
  <dcterms:modified xsi:type="dcterms:W3CDTF">2020-08-31T15:55:00Z</dcterms:modified>
</cp:coreProperties>
</file>